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6A92" w14:textId="76678A75" w:rsidR="007D574E" w:rsidRPr="00E2432B" w:rsidRDefault="006A09C4" w:rsidP="00EC7F8F">
      <w:pPr>
        <w:jc w:val="center"/>
        <w:rPr>
          <w:b/>
          <w:bCs/>
          <w:sz w:val="28"/>
          <w:szCs w:val="28"/>
        </w:rPr>
      </w:pPr>
      <w:r w:rsidRPr="00E2432B">
        <w:rPr>
          <w:b/>
          <w:bCs/>
          <w:sz w:val="28"/>
          <w:szCs w:val="28"/>
        </w:rPr>
        <w:t>Manor Road PPG</w:t>
      </w:r>
    </w:p>
    <w:p w14:paraId="7764FD04" w14:textId="55149F84" w:rsidR="00CD0A19" w:rsidRPr="00EC7F8F" w:rsidRDefault="006A09C4">
      <w:pPr>
        <w:rPr>
          <w:b/>
          <w:bCs/>
        </w:rPr>
      </w:pPr>
      <w:r w:rsidRPr="00EC7F8F">
        <w:rPr>
          <w:b/>
          <w:bCs/>
        </w:rPr>
        <w:t xml:space="preserve">Minutes </w:t>
      </w:r>
      <w:r w:rsidR="007D574E" w:rsidRPr="00EC7F8F">
        <w:rPr>
          <w:b/>
          <w:bCs/>
        </w:rPr>
        <w:t>of m</w:t>
      </w:r>
      <w:r w:rsidRPr="00EC7F8F">
        <w:rPr>
          <w:b/>
          <w:bCs/>
        </w:rPr>
        <w:t xml:space="preserve">eeting </w:t>
      </w:r>
      <w:r w:rsidR="007D574E" w:rsidRPr="00EC7F8F">
        <w:rPr>
          <w:b/>
          <w:bCs/>
        </w:rPr>
        <w:t>held on</w:t>
      </w:r>
      <w:r w:rsidR="00626129">
        <w:rPr>
          <w:b/>
          <w:bCs/>
        </w:rPr>
        <w:t xml:space="preserve"> 15.10</w:t>
      </w:r>
      <w:r w:rsidRPr="00EC7F8F">
        <w:rPr>
          <w:b/>
          <w:bCs/>
        </w:rPr>
        <w:t xml:space="preserve">.25 </w:t>
      </w:r>
      <w:r w:rsidR="007D574E" w:rsidRPr="00EC7F8F">
        <w:rPr>
          <w:b/>
          <w:bCs/>
        </w:rPr>
        <w:t xml:space="preserve">at </w:t>
      </w:r>
      <w:r w:rsidRPr="00EC7F8F">
        <w:rPr>
          <w:b/>
          <w:bCs/>
        </w:rPr>
        <w:t>7pm</w:t>
      </w:r>
    </w:p>
    <w:p w14:paraId="281CD9F0" w14:textId="32D3B831" w:rsidR="006A09C4" w:rsidRDefault="006A09C4">
      <w:r w:rsidRPr="006A09C4">
        <w:rPr>
          <w:b/>
          <w:bCs/>
        </w:rPr>
        <w:t>Present</w:t>
      </w:r>
      <w:r>
        <w:t>: Lisa Hamling, Abby Larkin</w:t>
      </w:r>
      <w:r w:rsidR="00626129">
        <w:t>, Tammy Bullivant</w:t>
      </w:r>
      <w:r>
        <w:t xml:space="preserve"> (Practice Members)</w:t>
      </w:r>
    </w:p>
    <w:p w14:paraId="489AAAF6" w14:textId="5363B63C" w:rsidR="006A09C4" w:rsidRDefault="006A09C4">
      <w:r>
        <w:t>Susan Neave (Chair), Howard Lester, Rod Turner, Joy Abd-Maria</w:t>
      </w:r>
      <w:r w:rsidR="00E2432B">
        <w:t>m</w:t>
      </w:r>
      <w:r>
        <w:t>, Charmaine Lovell, Wilson Pounder, Simon White, Lesley James, Judith Selke</w:t>
      </w:r>
      <w:r w:rsidR="00626129">
        <w:t>, Carol Baldry, Hilary Anderson, Malcolm Flem</w:t>
      </w:r>
      <w:r w:rsidR="002661D6">
        <w:t>i</w:t>
      </w:r>
      <w:r w:rsidR="00626129">
        <w:t>ng, Jean Wilson, Ruth Cook, Rod Turner, Dee Davis, Hillary Wharrie, John Brien, Martin Smith and Poppy Bough</w:t>
      </w:r>
    </w:p>
    <w:p w14:paraId="00AF7AC6" w14:textId="5CFD820E" w:rsidR="006A09C4" w:rsidRDefault="006A09C4" w:rsidP="006A09C4">
      <w:r w:rsidRPr="006A09C4">
        <w:rPr>
          <w:b/>
          <w:bCs/>
        </w:rPr>
        <w:t>Apologies</w:t>
      </w:r>
      <w:r>
        <w:t xml:space="preserve">: Dr Colin Garnham, </w:t>
      </w:r>
      <w:r w:rsidR="00626129">
        <w:t>Jerry Booth, Norma Redpath, John Wilson, Sue Elletson, Simon Foster, Amanda Barton, Simon White, Gillian Pattison, Carole Robinson</w:t>
      </w:r>
      <w:r>
        <w:t xml:space="preserve"> and Kathleen Lynch</w:t>
      </w:r>
      <w:r w:rsidR="00626129">
        <w:t>.</w:t>
      </w:r>
    </w:p>
    <w:p w14:paraId="243EFAE3" w14:textId="77777777" w:rsidR="006A09C4" w:rsidRPr="006A09C4" w:rsidRDefault="006A09C4" w:rsidP="006A09C4">
      <w:pPr>
        <w:rPr>
          <w:b/>
          <w:bCs/>
        </w:rPr>
      </w:pPr>
      <w:r w:rsidRPr="006A09C4">
        <w:rPr>
          <w:b/>
          <w:bCs/>
        </w:rPr>
        <w:t xml:space="preserve">1.  Welcome and Apologies </w:t>
      </w:r>
    </w:p>
    <w:p w14:paraId="5078ACD9" w14:textId="32DA4DDB" w:rsidR="00EC7F8F" w:rsidRDefault="00EC7F8F" w:rsidP="006A09C4">
      <w:r>
        <w:t>The Chair welcome</w:t>
      </w:r>
      <w:r w:rsidR="00E962F6">
        <w:t>d</w:t>
      </w:r>
      <w:r>
        <w:t xml:space="preserve"> existing and new members.  Apologies received as noted above. </w:t>
      </w:r>
    </w:p>
    <w:p w14:paraId="12D27632" w14:textId="03CFA850" w:rsidR="006A09C4" w:rsidRDefault="006A09C4" w:rsidP="006A09C4">
      <w:pPr>
        <w:rPr>
          <w:b/>
          <w:bCs/>
        </w:rPr>
      </w:pPr>
      <w:r>
        <w:rPr>
          <w:b/>
          <w:bCs/>
        </w:rPr>
        <w:t>2.  Minutes from last meeting</w:t>
      </w:r>
    </w:p>
    <w:p w14:paraId="7AE2F448" w14:textId="443F11B5" w:rsidR="006A09C4" w:rsidRDefault="006A09C4" w:rsidP="006A09C4">
      <w:r>
        <w:t>Agreed by all members.</w:t>
      </w:r>
    </w:p>
    <w:p w14:paraId="29990D3C" w14:textId="3BB9DBAB" w:rsidR="006A09C4" w:rsidRDefault="006A09C4" w:rsidP="006A09C4">
      <w:pPr>
        <w:rPr>
          <w:b/>
          <w:bCs/>
        </w:rPr>
      </w:pPr>
      <w:r>
        <w:rPr>
          <w:b/>
          <w:bCs/>
        </w:rPr>
        <w:t xml:space="preserve">3. </w:t>
      </w:r>
      <w:r w:rsidR="00626129">
        <w:rPr>
          <w:b/>
          <w:bCs/>
        </w:rPr>
        <w:t>Triage Update/evaluation</w:t>
      </w:r>
    </w:p>
    <w:p w14:paraId="73625D9E" w14:textId="045C9298" w:rsidR="00E36007" w:rsidRDefault="00E36007" w:rsidP="006A09C4">
      <w:r>
        <w:t>Lisa updated the group on the new appointment triage system.</w:t>
      </w:r>
    </w:p>
    <w:p w14:paraId="6F1AE143" w14:textId="3D545805" w:rsidR="00E36007" w:rsidRDefault="00E36007" w:rsidP="006A09C4">
      <w:r>
        <w:t>Figures for the month of July and September were shared with the group, as follows:</w:t>
      </w:r>
    </w:p>
    <w:tbl>
      <w:tblPr>
        <w:tblStyle w:val="TableGrid"/>
        <w:tblW w:w="0" w:type="auto"/>
        <w:tblLook w:val="04A0" w:firstRow="1" w:lastRow="0" w:firstColumn="1" w:lastColumn="0" w:noHBand="0" w:noVBand="1"/>
      </w:tblPr>
      <w:tblGrid>
        <w:gridCol w:w="2410"/>
        <w:gridCol w:w="949"/>
        <w:gridCol w:w="1253"/>
        <w:gridCol w:w="1427"/>
        <w:gridCol w:w="1259"/>
        <w:gridCol w:w="759"/>
        <w:gridCol w:w="959"/>
      </w:tblGrid>
      <w:tr w:rsidR="00E36007" w:rsidRPr="00E36007" w14:paraId="4C9EA3E2" w14:textId="77777777" w:rsidTr="00E36007">
        <w:trPr>
          <w:trHeight w:val="255"/>
        </w:trPr>
        <w:tc>
          <w:tcPr>
            <w:tcW w:w="6197" w:type="dxa"/>
            <w:gridSpan w:val="3"/>
            <w:noWrap/>
            <w:hideMark/>
          </w:tcPr>
          <w:p w14:paraId="5500DEFD" w14:textId="77777777" w:rsidR="00E36007" w:rsidRPr="00E36007" w:rsidRDefault="00E36007">
            <w:pPr>
              <w:rPr>
                <w:b/>
                <w:bCs/>
              </w:rPr>
            </w:pPr>
            <w:r w:rsidRPr="00E36007">
              <w:rPr>
                <w:b/>
                <w:bCs/>
              </w:rPr>
              <w:t>Patient Access platforms for completion of the form %</w:t>
            </w:r>
          </w:p>
        </w:tc>
        <w:tc>
          <w:tcPr>
            <w:tcW w:w="1911" w:type="dxa"/>
            <w:noWrap/>
            <w:hideMark/>
          </w:tcPr>
          <w:p w14:paraId="1D77725E" w14:textId="77777777" w:rsidR="00E36007" w:rsidRPr="00E36007" w:rsidRDefault="00E36007">
            <w:pPr>
              <w:rPr>
                <w:b/>
                <w:bCs/>
              </w:rPr>
            </w:pPr>
          </w:p>
        </w:tc>
        <w:tc>
          <w:tcPr>
            <w:tcW w:w="1676" w:type="dxa"/>
            <w:noWrap/>
            <w:hideMark/>
          </w:tcPr>
          <w:p w14:paraId="0A6B4D8E" w14:textId="77777777" w:rsidR="00E36007" w:rsidRPr="00E36007" w:rsidRDefault="00E36007"/>
        </w:tc>
        <w:tc>
          <w:tcPr>
            <w:tcW w:w="976" w:type="dxa"/>
            <w:noWrap/>
            <w:hideMark/>
          </w:tcPr>
          <w:p w14:paraId="518AE60D" w14:textId="77777777" w:rsidR="00E36007" w:rsidRPr="00E36007" w:rsidRDefault="00E36007"/>
        </w:tc>
        <w:tc>
          <w:tcPr>
            <w:tcW w:w="1256" w:type="dxa"/>
            <w:noWrap/>
            <w:hideMark/>
          </w:tcPr>
          <w:p w14:paraId="58A853AB" w14:textId="77777777" w:rsidR="00E36007" w:rsidRPr="00E36007" w:rsidRDefault="00E36007"/>
        </w:tc>
      </w:tr>
      <w:tr w:rsidR="00E36007" w:rsidRPr="00E36007" w14:paraId="71E331BA" w14:textId="77777777" w:rsidTr="00E36007">
        <w:trPr>
          <w:trHeight w:val="255"/>
        </w:trPr>
        <w:tc>
          <w:tcPr>
            <w:tcW w:w="3288" w:type="dxa"/>
            <w:noWrap/>
            <w:hideMark/>
          </w:tcPr>
          <w:p w14:paraId="7D01E9FE" w14:textId="77777777" w:rsidR="00E36007" w:rsidRPr="00E36007" w:rsidRDefault="00E36007">
            <w:r w:rsidRPr="00E36007">
              <w:t> </w:t>
            </w:r>
          </w:p>
        </w:tc>
        <w:tc>
          <w:tcPr>
            <w:tcW w:w="1242" w:type="dxa"/>
            <w:noWrap/>
            <w:hideMark/>
          </w:tcPr>
          <w:p w14:paraId="4D7AADC2" w14:textId="77777777" w:rsidR="00E36007" w:rsidRPr="00E36007" w:rsidRDefault="00E36007">
            <w:pPr>
              <w:rPr>
                <w:b/>
                <w:bCs/>
              </w:rPr>
            </w:pPr>
            <w:r w:rsidRPr="00E36007">
              <w:rPr>
                <w:b/>
                <w:bCs/>
              </w:rPr>
              <w:t>NHS App</w:t>
            </w:r>
          </w:p>
        </w:tc>
        <w:tc>
          <w:tcPr>
            <w:tcW w:w="1667" w:type="dxa"/>
            <w:noWrap/>
            <w:hideMark/>
          </w:tcPr>
          <w:p w14:paraId="7668C84F" w14:textId="77777777" w:rsidR="00E36007" w:rsidRPr="00E36007" w:rsidRDefault="00E36007">
            <w:pPr>
              <w:rPr>
                <w:b/>
                <w:bCs/>
              </w:rPr>
            </w:pPr>
            <w:r w:rsidRPr="00E36007">
              <w:rPr>
                <w:b/>
                <w:bCs/>
              </w:rPr>
              <w:t>Website link</w:t>
            </w:r>
          </w:p>
        </w:tc>
        <w:tc>
          <w:tcPr>
            <w:tcW w:w="1911" w:type="dxa"/>
            <w:noWrap/>
            <w:hideMark/>
          </w:tcPr>
          <w:p w14:paraId="2CD980ED" w14:textId="77777777" w:rsidR="00E36007" w:rsidRPr="00E36007" w:rsidRDefault="00E36007">
            <w:pPr>
              <w:rPr>
                <w:b/>
                <w:bCs/>
              </w:rPr>
            </w:pPr>
            <w:r w:rsidRPr="00E36007">
              <w:rPr>
                <w:b/>
                <w:bCs/>
              </w:rPr>
              <w:t>Reception complete</w:t>
            </w:r>
          </w:p>
        </w:tc>
        <w:tc>
          <w:tcPr>
            <w:tcW w:w="1676" w:type="dxa"/>
            <w:noWrap/>
            <w:hideMark/>
          </w:tcPr>
          <w:p w14:paraId="2F33D240" w14:textId="77777777" w:rsidR="00E36007" w:rsidRPr="00E36007" w:rsidRDefault="00E36007">
            <w:pPr>
              <w:rPr>
                <w:b/>
                <w:bCs/>
              </w:rPr>
            </w:pPr>
          </w:p>
        </w:tc>
        <w:tc>
          <w:tcPr>
            <w:tcW w:w="976" w:type="dxa"/>
            <w:noWrap/>
            <w:hideMark/>
          </w:tcPr>
          <w:p w14:paraId="7215A608" w14:textId="77777777" w:rsidR="00E36007" w:rsidRPr="00E36007" w:rsidRDefault="00E36007"/>
        </w:tc>
        <w:tc>
          <w:tcPr>
            <w:tcW w:w="1256" w:type="dxa"/>
            <w:noWrap/>
            <w:hideMark/>
          </w:tcPr>
          <w:p w14:paraId="438F775E" w14:textId="77777777" w:rsidR="00E36007" w:rsidRPr="00E36007" w:rsidRDefault="00E36007"/>
        </w:tc>
      </w:tr>
      <w:tr w:rsidR="00E36007" w:rsidRPr="00E36007" w14:paraId="515EC96F" w14:textId="77777777" w:rsidTr="00E36007">
        <w:trPr>
          <w:trHeight w:val="255"/>
        </w:trPr>
        <w:tc>
          <w:tcPr>
            <w:tcW w:w="3288" w:type="dxa"/>
            <w:noWrap/>
            <w:hideMark/>
          </w:tcPr>
          <w:p w14:paraId="33F7B1F2" w14:textId="77777777" w:rsidR="00E36007" w:rsidRPr="00E36007" w:rsidRDefault="00E36007">
            <w:r w:rsidRPr="00E36007">
              <w:t>July</w:t>
            </w:r>
          </w:p>
        </w:tc>
        <w:tc>
          <w:tcPr>
            <w:tcW w:w="1242" w:type="dxa"/>
            <w:noWrap/>
            <w:hideMark/>
          </w:tcPr>
          <w:p w14:paraId="407250AE" w14:textId="77777777" w:rsidR="00E36007" w:rsidRPr="00E36007" w:rsidRDefault="00E36007" w:rsidP="00E36007">
            <w:r w:rsidRPr="00E36007">
              <w:t>12%</w:t>
            </w:r>
          </w:p>
        </w:tc>
        <w:tc>
          <w:tcPr>
            <w:tcW w:w="1667" w:type="dxa"/>
            <w:noWrap/>
            <w:hideMark/>
          </w:tcPr>
          <w:p w14:paraId="7C8DECCA" w14:textId="77777777" w:rsidR="00E36007" w:rsidRPr="00E36007" w:rsidRDefault="00E36007" w:rsidP="00E36007">
            <w:r w:rsidRPr="00E36007">
              <w:t>70%</w:t>
            </w:r>
          </w:p>
        </w:tc>
        <w:tc>
          <w:tcPr>
            <w:tcW w:w="1911" w:type="dxa"/>
            <w:noWrap/>
            <w:hideMark/>
          </w:tcPr>
          <w:p w14:paraId="6BC1E975" w14:textId="77777777" w:rsidR="00E36007" w:rsidRPr="00E36007" w:rsidRDefault="00E36007" w:rsidP="00E36007">
            <w:r w:rsidRPr="00E36007">
              <w:t>18%</w:t>
            </w:r>
          </w:p>
        </w:tc>
        <w:tc>
          <w:tcPr>
            <w:tcW w:w="1676" w:type="dxa"/>
            <w:noWrap/>
            <w:hideMark/>
          </w:tcPr>
          <w:p w14:paraId="092612E3" w14:textId="77777777" w:rsidR="00E36007" w:rsidRPr="00E36007" w:rsidRDefault="00E36007" w:rsidP="00E36007"/>
        </w:tc>
        <w:tc>
          <w:tcPr>
            <w:tcW w:w="976" w:type="dxa"/>
            <w:noWrap/>
            <w:hideMark/>
          </w:tcPr>
          <w:p w14:paraId="14AF38CD" w14:textId="77777777" w:rsidR="00E36007" w:rsidRPr="00E36007" w:rsidRDefault="00E36007"/>
        </w:tc>
        <w:tc>
          <w:tcPr>
            <w:tcW w:w="1256" w:type="dxa"/>
            <w:noWrap/>
            <w:hideMark/>
          </w:tcPr>
          <w:p w14:paraId="2122DC01" w14:textId="77777777" w:rsidR="00E36007" w:rsidRPr="00E36007" w:rsidRDefault="00E36007"/>
        </w:tc>
      </w:tr>
      <w:tr w:rsidR="00E36007" w:rsidRPr="00E36007" w14:paraId="73BF8ECE" w14:textId="77777777" w:rsidTr="00E36007">
        <w:trPr>
          <w:trHeight w:val="255"/>
        </w:trPr>
        <w:tc>
          <w:tcPr>
            <w:tcW w:w="3288" w:type="dxa"/>
            <w:noWrap/>
            <w:hideMark/>
          </w:tcPr>
          <w:p w14:paraId="3C629492" w14:textId="77777777" w:rsidR="00E36007" w:rsidRPr="00E36007" w:rsidRDefault="00E36007">
            <w:r w:rsidRPr="00E36007">
              <w:t>September</w:t>
            </w:r>
          </w:p>
        </w:tc>
        <w:tc>
          <w:tcPr>
            <w:tcW w:w="1242" w:type="dxa"/>
            <w:noWrap/>
            <w:hideMark/>
          </w:tcPr>
          <w:p w14:paraId="2CEA7870" w14:textId="77777777" w:rsidR="00E36007" w:rsidRPr="00E36007" w:rsidRDefault="00E36007" w:rsidP="00E36007">
            <w:r w:rsidRPr="00E36007">
              <w:t>13%</w:t>
            </w:r>
          </w:p>
        </w:tc>
        <w:tc>
          <w:tcPr>
            <w:tcW w:w="1667" w:type="dxa"/>
            <w:noWrap/>
            <w:hideMark/>
          </w:tcPr>
          <w:p w14:paraId="3A1B1A88" w14:textId="77777777" w:rsidR="00E36007" w:rsidRPr="00E36007" w:rsidRDefault="00E36007" w:rsidP="00E36007">
            <w:r w:rsidRPr="00E36007">
              <w:t>69%</w:t>
            </w:r>
          </w:p>
        </w:tc>
        <w:tc>
          <w:tcPr>
            <w:tcW w:w="1911" w:type="dxa"/>
            <w:noWrap/>
            <w:hideMark/>
          </w:tcPr>
          <w:p w14:paraId="3CD5B5F0" w14:textId="77777777" w:rsidR="00E36007" w:rsidRPr="00E36007" w:rsidRDefault="00E36007" w:rsidP="00E36007">
            <w:r w:rsidRPr="00E36007">
              <w:t>18%</w:t>
            </w:r>
          </w:p>
        </w:tc>
        <w:tc>
          <w:tcPr>
            <w:tcW w:w="1676" w:type="dxa"/>
            <w:noWrap/>
            <w:hideMark/>
          </w:tcPr>
          <w:p w14:paraId="6DB18C8E" w14:textId="77777777" w:rsidR="00E36007" w:rsidRPr="00E36007" w:rsidRDefault="00E36007" w:rsidP="00E36007"/>
        </w:tc>
        <w:tc>
          <w:tcPr>
            <w:tcW w:w="976" w:type="dxa"/>
            <w:noWrap/>
            <w:hideMark/>
          </w:tcPr>
          <w:p w14:paraId="4F6A11A8" w14:textId="77777777" w:rsidR="00E36007" w:rsidRPr="00E36007" w:rsidRDefault="00E36007"/>
        </w:tc>
        <w:tc>
          <w:tcPr>
            <w:tcW w:w="1256" w:type="dxa"/>
            <w:noWrap/>
            <w:hideMark/>
          </w:tcPr>
          <w:p w14:paraId="33342D6D" w14:textId="77777777" w:rsidR="00E36007" w:rsidRPr="00E36007" w:rsidRDefault="00E36007"/>
        </w:tc>
      </w:tr>
      <w:tr w:rsidR="00E36007" w:rsidRPr="00E36007" w14:paraId="657B1FD4" w14:textId="77777777" w:rsidTr="00E36007">
        <w:trPr>
          <w:trHeight w:val="255"/>
        </w:trPr>
        <w:tc>
          <w:tcPr>
            <w:tcW w:w="3288" w:type="dxa"/>
            <w:noWrap/>
            <w:hideMark/>
          </w:tcPr>
          <w:p w14:paraId="16D6575F" w14:textId="77777777" w:rsidR="00E36007" w:rsidRPr="00E36007" w:rsidRDefault="00E36007"/>
        </w:tc>
        <w:tc>
          <w:tcPr>
            <w:tcW w:w="1242" w:type="dxa"/>
            <w:noWrap/>
            <w:hideMark/>
          </w:tcPr>
          <w:p w14:paraId="37E28598" w14:textId="77777777" w:rsidR="00E36007" w:rsidRPr="00E36007" w:rsidRDefault="00E36007"/>
        </w:tc>
        <w:tc>
          <w:tcPr>
            <w:tcW w:w="1667" w:type="dxa"/>
            <w:noWrap/>
            <w:hideMark/>
          </w:tcPr>
          <w:p w14:paraId="082BE6E6" w14:textId="77777777" w:rsidR="00E36007" w:rsidRPr="00E36007" w:rsidRDefault="00E36007"/>
        </w:tc>
        <w:tc>
          <w:tcPr>
            <w:tcW w:w="1911" w:type="dxa"/>
            <w:noWrap/>
            <w:hideMark/>
          </w:tcPr>
          <w:p w14:paraId="1745AE65" w14:textId="77777777" w:rsidR="00E36007" w:rsidRPr="00E36007" w:rsidRDefault="00E36007"/>
        </w:tc>
        <w:tc>
          <w:tcPr>
            <w:tcW w:w="1676" w:type="dxa"/>
            <w:noWrap/>
            <w:hideMark/>
          </w:tcPr>
          <w:p w14:paraId="67400BF1" w14:textId="77777777" w:rsidR="00E36007" w:rsidRPr="00E36007" w:rsidRDefault="00E36007"/>
        </w:tc>
        <w:tc>
          <w:tcPr>
            <w:tcW w:w="976" w:type="dxa"/>
            <w:noWrap/>
            <w:hideMark/>
          </w:tcPr>
          <w:p w14:paraId="1F16FFAF" w14:textId="77777777" w:rsidR="00E36007" w:rsidRPr="00E36007" w:rsidRDefault="00E36007"/>
        </w:tc>
        <w:tc>
          <w:tcPr>
            <w:tcW w:w="1256" w:type="dxa"/>
            <w:noWrap/>
            <w:hideMark/>
          </w:tcPr>
          <w:p w14:paraId="505B9BF6" w14:textId="77777777" w:rsidR="00E36007" w:rsidRPr="00E36007" w:rsidRDefault="00E36007"/>
        </w:tc>
      </w:tr>
      <w:tr w:rsidR="00E36007" w:rsidRPr="00E36007" w14:paraId="307AB2E5" w14:textId="77777777" w:rsidTr="00E36007">
        <w:trPr>
          <w:trHeight w:val="255"/>
        </w:trPr>
        <w:tc>
          <w:tcPr>
            <w:tcW w:w="3288" w:type="dxa"/>
            <w:noWrap/>
            <w:hideMark/>
          </w:tcPr>
          <w:p w14:paraId="3F8104B2" w14:textId="77777777" w:rsidR="00E36007" w:rsidRPr="00E36007" w:rsidRDefault="00E36007">
            <w:r w:rsidRPr="00E36007">
              <w:t>Monthly Number of Forms</w:t>
            </w:r>
          </w:p>
        </w:tc>
        <w:tc>
          <w:tcPr>
            <w:tcW w:w="1242" w:type="dxa"/>
            <w:noWrap/>
            <w:hideMark/>
          </w:tcPr>
          <w:p w14:paraId="539E0418" w14:textId="77777777" w:rsidR="00E36007" w:rsidRPr="00E36007" w:rsidRDefault="00E36007">
            <w:pPr>
              <w:rPr>
                <w:sz w:val="20"/>
                <w:szCs w:val="20"/>
              </w:rPr>
            </w:pPr>
            <w:r w:rsidRPr="00E36007">
              <w:rPr>
                <w:sz w:val="20"/>
                <w:szCs w:val="20"/>
              </w:rPr>
              <w:t>Monday</w:t>
            </w:r>
          </w:p>
        </w:tc>
        <w:tc>
          <w:tcPr>
            <w:tcW w:w="1667" w:type="dxa"/>
            <w:noWrap/>
            <w:hideMark/>
          </w:tcPr>
          <w:p w14:paraId="700FE7FB" w14:textId="77777777" w:rsidR="00E36007" w:rsidRPr="00E36007" w:rsidRDefault="00E36007">
            <w:pPr>
              <w:rPr>
                <w:sz w:val="20"/>
                <w:szCs w:val="20"/>
              </w:rPr>
            </w:pPr>
            <w:r w:rsidRPr="00E36007">
              <w:rPr>
                <w:sz w:val="20"/>
                <w:szCs w:val="20"/>
              </w:rPr>
              <w:t>Tuesday</w:t>
            </w:r>
          </w:p>
        </w:tc>
        <w:tc>
          <w:tcPr>
            <w:tcW w:w="1911" w:type="dxa"/>
            <w:noWrap/>
            <w:hideMark/>
          </w:tcPr>
          <w:p w14:paraId="2D436B2A" w14:textId="77777777" w:rsidR="00E36007" w:rsidRPr="00E36007" w:rsidRDefault="00E36007">
            <w:pPr>
              <w:rPr>
                <w:sz w:val="20"/>
                <w:szCs w:val="20"/>
              </w:rPr>
            </w:pPr>
            <w:r w:rsidRPr="00E36007">
              <w:rPr>
                <w:sz w:val="20"/>
                <w:szCs w:val="20"/>
              </w:rPr>
              <w:t>Wednesday</w:t>
            </w:r>
          </w:p>
        </w:tc>
        <w:tc>
          <w:tcPr>
            <w:tcW w:w="1676" w:type="dxa"/>
            <w:noWrap/>
            <w:hideMark/>
          </w:tcPr>
          <w:p w14:paraId="0E730227" w14:textId="77777777" w:rsidR="00E36007" w:rsidRPr="00E36007" w:rsidRDefault="00E36007">
            <w:pPr>
              <w:rPr>
                <w:sz w:val="20"/>
                <w:szCs w:val="20"/>
              </w:rPr>
            </w:pPr>
            <w:r w:rsidRPr="00E36007">
              <w:rPr>
                <w:sz w:val="20"/>
                <w:szCs w:val="20"/>
              </w:rPr>
              <w:t>Thursday</w:t>
            </w:r>
          </w:p>
        </w:tc>
        <w:tc>
          <w:tcPr>
            <w:tcW w:w="976" w:type="dxa"/>
            <w:noWrap/>
            <w:hideMark/>
          </w:tcPr>
          <w:p w14:paraId="6D26481D" w14:textId="77777777" w:rsidR="00E36007" w:rsidRPr="00E36007" w:rsidRDefault="00E36007">
            <w:pPr>
              <w:rPr>
                <w:sz w:val="20"/>
                <w:szCs w:val="20"/>
              </w:rPr>
            </w:pPr>
            <w:r w:rsidRPr="00E36007">
              <w:rPr>
                <w:sz w:val="20"/>
                <w:szCs w:val="20"/>
              </w:rPr>
              <w:t>Friday</w:t>
            </w:r>
          </w:p>
        </w:tc>
        <w:tc>
          <w:tcPr>
            <w:tcW w:w="1256" w:type="dxa"/>
            <w:noWrap/>
            <w:hideMark/>
          </w:tcPr>
          <w:p w14:paraId="70A97858" w14:textId="77777777" w:rsidR="00E36007" w:rsidRPr="00E36007" w:rsidRDefault="00E36007">
            <w:r w:rsidRPr="00E36007">
              <w:t>Mthly Total</w:t>
            </w:r>
          </w:p>
        </w:tc>
      </w:tr>
      <w:tr w:rsidR="00E36007" w:rsidRPr="00E36007" w14:paraId="32877624" w14:textId="77777777" w:rsidTr="00E36007">
        <w:trPr>
          <w:trHeight w:val="255"/>
        </w:trPr>
        <w:tc>
          <w:tcPr>
            <w:tcW w:w="3288" w:type="dxa"/>
            <w:noWrap/>
            <w:hideMark/>
          </w:tcPr>
          <w:p w14:paraId="6E2DB675" w14:textId="77777777" w:rsidR="00E36007" w:rsidRPr="00E36007" w:rsidRDefault="00E36007">
            <w:r w:rsidRPr="00E36007">
              <w:t>July</w:t>
            </w:r>
          </w:p>
        </w:tc>
        <w:tc>
          <w:tcPr>
            <w:tcW w:w="1242" w:type="dxa"/>
            <w:noWrap/>
            <w:hideMark/>
          </w:tcPr>
          <w:p w14:paraId="6ABD9A57" w14:textId="77777777" w:rsidR="00E36007" w:rsidRPr="00E36007" w:rsidRDefault="00E36007" w:rsidP="00E36007">
            <w:r w:rsidRPr="00E36007">
              <w:t>711</w:t>
            </w:r>
          </w:p>
        </w:tc>
        <w:tc>
          <w:tcPr>
            <w:tcW w:w="1667" w:type="dxa"/>
            <w:noWrap/>
            <w:hideMark/>
          </w:tcPr>
          <w:p w14:paraId="06D6F4EB" w14:textId="77777777" w:rsidR="00E36007" w:rsidRPr="00E36007" w:rsidRDefault="00E36007" w:rsidP="00E36007">
            <w:r w:rsidRPr="00E36007">
              <w:t>613</w:t>
            </w:r>
          </w:p>
        </w:tc>
        <w:tc>
          <w:tcPr>
            <w:tcW w:w="1911" w:type="dxa"/>
            <w:noWrap/>
            <w:hideMark/>
          </w:tcPr>
          <w:p w14:paraId="7F7E91C4" w14:textId="77777777" w:rsidR="00E36007" w:rsidRPr="00E36007" w:rsidRDefault="00E36007" w:rsidP="00E36007">
            <w:r w:rsidRPr="00E36007">
              <w:t>514</w:t>
            </w:r>
          </w:p>
        </w:tc>
        <w:tc>
          <w:tcPr>
            <w:tcW w:w="1676" w:type="dxa"/>
            <w:noWrap/>
            <w:hideMark/>
          </w:tcPr>
          <w:p w14:paraId="35AB0776" w14:textId="77777777" w:rsidR="00E36007" w:rsidRPr="00E36007" w:rsidRDefault="00E36007" w:rsidP="00E36007">
            <w:r w:rsidRPr="00E36007">
              <w:t>544</w:t>
            </w:r>
          </w:p>
        </w:tc>
        <w:tc>
          <w:tcPr>
            <w:tcW w:w="976" w:type="dxa"/>
            <w:noWrap/>
            <w:hideMark/>
          </w:tcPr>
          <w:p w14:paraId="7D4A0C0F" w14:textId="77777777" w:rsidR="00E36007" w:rsidRPr="00E36007" w:rsidRDefault="00E36007" w:rsidP="00E36007">
            <w:r w:rsidRPr="00E36007">
              <w:t>327</w:t>
            </w:r>
          </w:p>
        </w:tc>
        <w:tc>
          <w:tcPr>
            <w:tcW w:w="1256" w:type="dxa"/>
            <w:noWrap/>
            <w:hideMark/>
          </w:tcPr>
          <w:p w14:paraId="1CBDA59F" w14:textId="77777777" w:rsidR="00E36007" w:rsidRPr="00E36007" w:rsidRDefault="00E36007" w:rsidP="00E36007">
            <w:r w:rsidRPr="00E36007">
              <w:t>2709</w:t>
            </w:r>
          </w:p>
        </w:tc>
      </w:tr>
      <w:tr w:rsidR="00E36007" w:rsidRPr="00E36007" w14:paraId="08BF9853" w14:textId="77777777" w:rsidTr="00E36007">
        <w:trPr>
          <w:trHeight w:val="255"/>
        </w:trPr>
        <w:tc>
          <w:tcPr>
            <w:tcW w:w="3288" w:type="dxa"/>
            <w:noWrap/>
            <w:hideMark/>
          </w:tcPr>
          <w:p w14:paraId="11CC1175" w14:textId="77777777" w:rsidR="00E36007" w:rsidRPr="00E36007" w:rsidRDefault="00E36007">
            <w:r w:rsidRPr="00E36007">
              <w:t>September</w:t>
            </w:r>
          </w:p>
        </w:tc>
        <w:tc>
          <w:tcPr>
            <w:tcW w:w="1242" w:type="dxa"/>
            <w:noWrap/>
            <w:hideMark/>
          </w:tcPr>
          <w:p w14:paraId="5CC668D4" w14:textId="77777777" w:rsidR="00E36007" w:rsidRPr="00E36007" w:rsidRDefault="00E36007" w:rsidP="00E36007">
            <w:r w:rsidRPr="00E36007">
              <w:t>905</w:t>
            </w:r>
          </w:p>
        </w:tc>
        <w:tc>
          <w:tcPr>
            <w:tcW w:w="1667" w:type="dxa"/>
            <w:noWrap/>
            <w:hideMark/>
          </w:tcPr>
          <w:p w14:paraId="42B0771D" w14:textId="77777777" w:rsidR="00E36007" w:rsidRPr="00E36007" w:rsidRDefault="00E36007" w:rsidP="00E36007">
            <w:r w:rsidRPr="00E36007">
              <w:t>593</w:t>
            </w:r>
          </w:p>
        </w:tc>
        <w:tc>
          <w:tcPr>
            <w:tcW w:w="1911" w:type="dxa"/>
            <w:noWrap/>
            <w:hideMark/>
          </w:tcPr>
          <w:p w14:paraId="06D6752C" w14:textId="77777777" w:rsidR="00E36007" w:rsidRPr="00E36007" w:rsidRDefault="00E36007" w:rsidP="00E36007">
            <w:r w:rsidRPr="00E36007">
              <w:t>435</w:t>
            </w:r>
          </w:p>
        </w:tc>
        <w:tc>
          <w:tcPr>
            <w:tcW w:w="1676" w:type="dxa"/>
            <w:noWrap/>
            <w:hideMark/>
          </w:tcPr>
          <w:p w14:paraId="6C59C018" w14:textId="77777777" w:rsidR="00E36007" w:rsidRPr="00E36007" w:rsidRDefault="00E36007" w:rsidP="00E36007">
            <w:r w:rsidRPr="00E36007">
              <w:t>393</w:t>
            </w:r>
          </w:p>
        </w:tc>
        <w:tc>
          <w:tcPr>
            <w:tcW w:w="976" w:type="dxa"/>
            <w:noWrap/>
            <w:hideMark/>
          </w:tcPr>
          <w:p w14:paraId="4A2B51E1" w14:textId="77777777" w:rsidR="00E36007" w:rsidRPr="00E36007" w:rsidRDefault="00E36007" w:rsidP="00E36007">
            <w:r w:rsidRPr="00E36007">
              <w:t>410</w:t>
            </w:r>
          </w:p>
        </w:tc>
        <w:tc>
          <w:tcPr>
            <w:tcW w:w="1256" w:type="dxa"/>
            <w:noWrap/>
            <w:hideMark/>
          </w:tcPr>
          <w:p w14:paraId="7AF0F3A2" w14:textId="77777777" w:rsidR="00E36007" w:rsidRPr="00E36007" w:rsidRDefault="00E36007" w:rsidP="00E36007">
            <w:r w:rsidRPr="00E36007">
              <w:t>2736</w:t>
            </w:r>
          </w:p>
        </w:tc>
      </w:tr>
    </w:tbl>
    <w:p w14:paraId="08CCA265" w14:textId="77777777" w:rsidR="00E36007" w:rsidRDefault="00E36007" w:rsidP="006A09C4"/>
    <w:p w14:paraId="22B3AA01" w14:textId="76099826" w:rsidR="00E36007" w:rsidRDefault="00E36007" w:rsidP="006A09C4">
      <w:r>
        <w:t>The practice cannot break down the information into categories of contact as this would need every patient record retrieving for the information.</w:t>
      </w:r>
    </w:p>
    <w:p w14:paraId="5E3B6C21" w14:textId="07F6C7E1" w:rsidR="00E36007" w:rsidRPr="00E36007" w:rsidRDefault="00E36007" w:rsidP="006A09C4">
      <w:r>
        <w:t xml:space="preserve">Lisa shared patient comments received regarding the new system with </w:t>
      </w:r>
      <w:proofErr w:type="gramStart"/>
      <w:r>
        <w:t>the majority of</w:t>
      </w:r>
      <w:proofErr w:type="gramEnd"/>
      <w:r>
        <w:t xml:space="preserve"> them very positive about the new system providing improved access for patients.</w:t>
      </w:r>
    </w:p>
    <w:p w14:paraId="7FD5E7D9" w14:textId="40632551" w:rsidR="001818BC" w:rsidRDefault="001818BC" w:rsidP="006A09C4">
      <w:pPr>
        <w:rPr>
          <w:b/>
          <w:bCs/>
        </w:rPr>
      </w:pPr>
      <w:r>
        <w:rPr>
          <w:b/>
          <w:bCs/>
        </w:rPr>
        <w:t xml:space="preserve">4. </w:t>
      </w:r>
      <w:r w:rsidR="00AE6A24">
        <w:rPr>
          <w:b/>
          <w:bCs/>
        </w:rPr>
        <w:t>Staffing and Contracts</w:t>
      </w:r>
    </w:p>
    <w:p w14:paraId="060CBF6B" w14:textId="0EFA6F55" w:rsidR="00AE6A24" w:rsidRDefault="00AE6A24" w:rsidP="006A09C4">
      <w:r>
        <w:lastRenderedPageBreak/>
        <w:t xml:space="preserve">The practice has a new Advanced Nurse Practitioner starting this month, Gill. Gill will be working Monday, Tuesday and Wednesday and seeing patients. </w:t>
      </w:r>
    </w:p>
    <w:p w14:paraId="33EAD072" w14:textId="3E9EAB16" w:rsidR="00AE6A24" w:rsidRDefault="00AE6A24" w:rsidP="006A09C4">
      <w:r>
        <w:t>The practice now has 35 staff, 8 partners and 2 trainee GPs.</w:t>
      </w:r>
    </w:p>
    <w:p w14:paraId="297E6B98" w14:textId="20710D89" w:rsidR="00AE6A24" w:rsidRDefault="00AE6A24" w:rsidP="006A09C4">
      <w:r>
        <w:t>Two of the reception team are on maternity leave and we have cover in place for their roles.</w:t>
      </w:r>
    </w:p>
    <w:p w14:paraId="0C01101E" w14:textId="50CAD67F" w:rsidR="00AE6A24" w:rsidRDefault="00AE6A24" w:rsidP="006A09C4">
      <w:r>
        <w:t xml:space="preserve">The new contract from the </w:t>
      </w:r>
      <w:proofErr w:type="gramStart"/>
      <w:r>
        <w:t>1</w:t>
      </w:r>
      <w:r w:rsidRPr="00AE6A24">
        <w:rPr>
          <w:vertAlign w:val="superscript"/>
        </w:rPr>
        <w:t>st</w:t>
      </w:r>
      <w:proofErr w:type="gramEnd"/>
      <w:r>
        <w:t xml:space="preserve"> October states we should have the online service open</w:t>
      </w:r>
      <w:r w:rsidR="00395380">
        <w:t xml:space="preserve"> f</w:t>
      </w:r>
      <w:r>
        <w:t>rom 8am to 6.30 pm</w:t>
      </w:r>
      <w:r w:rsidR="00395380">
        <w:t>;</w:t>
      </w:r>
      <w:r>
        <w:t xml:space="preserve"> this is in force.</w:t>
      </w:r>
    </w:p>
    <w:p w14:paraId="4B7E585F" w14:textId="3CCF878C" w:rsidR="00AE6A24" w:rsidRDefault="00AE6A24" w:rsidP="006A09C4">
      <w:r>
        <w:t xml:space="preserve">We should have phone and practice access within these </w:t>
      </w:r>
      <w:proofErr w:type="gramStart"/>
      <w:r>
        <w:t>hours,</w:t>
      </w:r>
      <w:proofErr w:type="gramEnd"/>
      <w:r>
        <w:t xml:space="preserve"> phone</w:t>
      </w:r>
      <w:r w:rsidR="00395380">
        <w:t>s</w:t>
      </w:r>
      <w:r>
        <w:t xml:space="preserve"> are currently switched to CHCP at 6pm until 6.30 pm for Ooh cover</w:t>
      </w:r>
      <w:r w:rsidR="002661D6">
        <w:t>. T</w:t>
      </w:r>
      <w:r>
        <w:t>his has not changed and has been set like this for a long time.</w:t>
      </w:r>
    </w:p>
    <w:p w14:paraId="48ED609E" w14:textId="79DBF61D" w:rsidR="00AE6A24" w:rsidRDefault="00AE6A24" w:rsidP="006A09C4">
      <w:r>
        <w:t>The practice is open until 8pm on Mondays and currently staff leave at 6.15 pm during the rest of the week.</w:t>
      </w:r>
    </w:p>
    <w:p w14:paraId="7DEC6E99" w14:textId="5D73793D" w:rsidR="00AE6A24" w:rsidRPr="00AE6A24" w:rsidRDefault="00AE6A24" w:rsidP="006A09C4">
      <w:r>
        <w:t>This is under review at present.</w:t>
      </w:r>
    </w:p>
    <w:p w14:paraId="71C84129" w14:textId="19ABCCC2" w:rsidR="001D22E4" w:rsidRDefault="004979B8" w:rsidP="006A09C4">
      <w:pPr>
        <w:rPr>
          <w:b/>
          <w:bCs/>
        </w:rPr>
      </w:pPr>
      <w:r>
        <w:rPr>
          <w:b/>
          <w:bCs/>
        </w:rPr>
        <w:t xml:space="preserve">5. </w:t>
      </w:r>
      <w:r w:rsidR="00AE6A24">
        <w:rPr>
          <w:b/>
          <w:bCs/>
        </w:rPr>
        <w:t>Integrated Care Board – update from minutes</w:t>
      </w:r>
    </w:p>
    <w:p w14:paraId="61935759" w14:textId="10A116A7" w:rsidR="00AE6A24" w:rsidRDefault="00AE6A24" w:rsidP="006A09C4">
      <w:r>
        <w:t>Simon Foster has attended the meetings, the ICB is seeing a lot of changes and may need to reduce head count by 50%</w:t>
      </w:r>
      <w:r w:rsidR="00395380">
        <w:t>. T</w:t>
      </w:r>
      <w:r>
        <w:t xml:space="preserve">here are no funds for redundancy and this </w:t>
      </w:r>
      <w:proofErr w:type="gramStart"/>
      <w:r>
        <w:t>is still been</w:t>
      </w:r>
      <w:proofErr w:type="gramEnd"/>
      <w:r>
        <w:t xml:space="preserve"> discussed. </w:t>
      </w:r>
    </w:p>
    <w:p w14:paraId="34BCC04B" w14:textId="7820C957" w:rsidR="00AE6A24" w:rsidRPr="00AE6A24" w:rsidRDefault="00AE6A24" w:rsidP="006A09C4">
      <w:r>
        <w:t>There are a lot of changes ahead in the next 4 years</w:t>
      </w:r>
      <w:r w:rsidR="00395380">
        <w:t>;</w:t>
      </w:r>
      <w:r>
        <w:t xml:space="preserve"> these will be made clearer in the next 12 months.</w:t>
      </w:r>
    </w:p>
    <w:p w14:paraId="01B3A8B6" w14:textId="060D633E" w:rsidR="004979B8" w:rsidRDefault="004979B8" w:rsidP="006A09C4">
      <w:pPr>
        <w:rPr>
          <w:b/>
          <w:bCs/>
        </w:rPr>
      </w:pPr>
      <w:r>
        <w:rPr>
          <w:b/>
          <w:bCs/>
        </w:rPr>
        <w:t xml:space="preserve">6. </w:t>
      </w:r>
      <w:r w:rsidR="00AE6A24">
        <w:rPr>
          <w:b/>
          <w:bCs/>
        </w:rPr>
        <w:t>Dementia Support</w:t>
      </w:r>
    </w:p>
    <w:p w14:paraId="1B42D27D" w14:textId="1CD916FA" w:rsidR="00E962F6" w:rsidRPr="00AE6A24" w:rsidRDefault="00AE6A24" w:rsidP="006A09C4">
      <w:r>
        <w:t>The GPs refer patients to the local Alzheimer’s Society when discussing dementia</w:t>
      </w:r>
      <w:r w:rsidR="003A48D7">
        <w:t>, also the social prescriber.</w:t>
      </w:r>
    </w:p>
    <w:p w14:paraId="64F2E638" w14:textId="6AD86274" w:rsidR="004979B8" w:rsidRDefault="004979B8" w:rsidP="006A09C4">
      <w:pPr>
        <w:rPr>
          <w:b/>
          <w:bCs/>
        </w:rPr>
      </w:pPr>
      <w:r>
        <w:rPr>
          <w:b/>
          <w:bCs/>
        </w:rPr>
        <w:t xml:space="preserve">7. </w:t>
      </w:r>
      <w:r w:rsidR="003A48D7">
        <w:rPr>
          <w:b/>
          <w:bCs/>
        </w:rPr>
        <w:t>Government Grant for GP Surgeries</w:t>
      </w:r>
    </w:p>
    <w:p w14:paraId="394D94F5" w14:textId="55525E20" w:rsidR="003A48D7" w:rsidRPr="003A48D7" w:rsidRDefault="003A48D7" w:rsidP="006A09C4">
      <w:r>
        <w:t xml:space="preserve">The practice has not received any of the £100 million grant, the grant is specifically for estates and improving or expanding premises. The practice has no plans to </w:t>
      </w:r>
      <w:proofErr w:type="gramStart"/>
      <w:r>
        <w:t>expand</w:t>
      </w:r>
      <w:proofErr w:type="gramEnd"/>
      <w:r>
        <w:t xml:space="preserve"> and we operate from a purpose</w:t>
      </w:r>
      <w:r w:rsidR="00395380">
        <w:t>-</w:t>
      </w:r>
      <w:r>
        <w:t>buil</w:t>
      </w:r>
      <w:r w:rsidR="00395380">
        <w:t>t</w:t>
      </w:r>
      <w:r>
        <w:t xml:space="preserve"> building that is not owned by the practice</w:t>
      </w:r>
      <w:r w:rsidR="00395380">
        <w:t>. T</w:t>
      </w:r>
      <w:r>
        <w:t>he grant would not be given to the private landlords.</w:t>
      </w:r>
    </w:p>
    <w:p w14:paraId="3075AD1F" w14:textId="78EB7801" w:rsidR="008344F1" w:rsidRDefault="008344F1" w:rsidP="006A09C4">
      <w:pPr>
        <w:rPr>
          <w:b/>
          <w:bCs/>
        </w:rPr>
      </w:pPr>
      <w:r>
        <w:rPr>
          <w:b/>
          <w:bCs/>
        </w:rPr>
        <w:t xml:space="preserve">8. </w:t>
      </w:r>
      <w:r w:rsidRPr="008344F1">
        <w:rPr>
          <w:b/>
          <w:bCs/>
        </w:rPr>
        <w:t>AOB</w:t>
      </w:r>
    </w:p>
    <w:p w14:paraId="45A11DD5" w14:textId="000E6F46" w:rsidR="00EC7F8F" w:rsidRDefault="003A48D7" w:rsidP="006A09C4">
      <w:r>
        <w:t>The group asked for an update o</w:t>
      </w:r>
      <w:r w:rsidR="00395380">
        <w:t>n</w:t>
      </w:r>
      <w:r>
        <w:t xml:space="preserve"> the sale of the council building within the surgery car park grounds. The council have now realised they do not have right of way for access to the building via the car park and have asked for the deeds to be altered. The letter came to the practice; we have advised them it should be sent to the private landlords.</w:t>
      </w:r>
    </w:p>
    <w:p w14:paraId="386CA6C5" w14:textId="6FA4332C" w:rsidR="003A48D7" w:rsidRDefault="003A48D7" w:rsidP="006A09C4">
      <w:r>
        <w:t>The landlords have confirmed they will not be granting access to the council.</w:t>
      </w:r>
    </w:p>
    <w:p w14:paraId="471ED427" w14:textId="1632E647" w:rsidR="003A48D7" w:rsidRDefault="003A48D7" w:rsidP="006A09C4">
      <w:r>
        <w:lastRenderedPageBreak/>
        <w:t xml:space="preserve">It was noted the government have disbanded the Healthwatch agency, this was an independent agency to review healthcare settings. </w:t>
      </w:r>
    </w:p>
    <w:p w14:paraId="29AE1166" w14:textId="41F932E0" w:rsidR="002661D6" w:rsidRDefault="002661D6" w:rsidP="006A09C4">
      <w:r>
        <w:t>Nothing more is known about the apparent possibility of Job Centre personnel being available at health centres with the aim of getting more people back into work. The practice has no knowledge of such a scheme.</w:t>
      </w:r>
    </w:p>
    <w:p w14:paraId="0CEDFE65" w14:textId="77777777" w:rsidR="002661D6" w:rsidRPr="00EC7F8F" w:rsidRDefault="002661D6" w:rsidP="006A09C4"/>
    <w:p w14:paraId="30D460E9" w14:textId="63CA5275" w:rsidR="008344F1" w:rsidRPr="00EC7F8F" w:rsidRDefault="008344F1" w:rsidP="006A09C4">
      <w:pPr>
        <w:rPr>
          <w:u w:val="single"/>
        </w:rPr>
      </w:pPr>
      <w:r w:rsidRPr="00EC7F8F">
        <w:rPr>
          <w:u w:val="single"/>
        </w:rPr>
        <w:t>Next Meeting</w:t>
      </w:r>
      <w:r w:rsidR="00EC7F8F" w:rsidRPr="00EC7F8F">
        <w:rPr>
          <w:u w:val="single"/>
        </w:rPr>
        <w:t>:</w:t>
      </w:r>
      <w:r w:rsidRPr="00EC7F8F">
        <w:rPr>
          <w:u w:val="single"/>
        </w:rPr>
        <w:t xml:space="preserve"> </w:t>
      </w:r>
      <w:r w:rsidR="00EC7F8F">
        <w:rPr>
          <w:u w:val="single"/>
        </w:rPr>
        <w:t xml:space="preserve"> </w:t>
      </w:r>
      <w:r w:rsidR="00395380">
        <w:rPr>
          <w:u w:val="single"/>
        </w:rPr>
        <w:t xml:space="preserve">Wednesday </w:t>
      </w:r>
      <w:r w:rsidR="003A48D7">
        <w:rPr>
          <w:u w:val="single"/>
        </w:rPr>
        <w:t>25</w:t>
      </w:r>
      <w:r w:rsidR="003A48D7" w:rsidRPr="003A48D7">
        <w:rPr>
          <w:u w:val="single"/>
          <w:vertAlign w:val="superscript"/>
        </w:rPr>
        <w:t>th</w:t>
      </w:r>
      <w:r w:rsidR="003A48D7">
        <w:rPr>
          <w:u w:val="single"/>
        </w:rPr>
        <w:t xml:space="preserve"> March </w:t>
      </w:r>
      <w:r w:rsidR="00395380">
        <w:rPr>
          <w:u w:val="single"/>
        </w:rPr>
        <w:t xml:space="preserve">2026, </w:t>
      </w:r>
      <w:r w:rsidR="003A48D7">
        <w:rPr>
          <w:u w:val="single"/>
        </w:rPr>
        <w:t>7pm</w:t>
      </w:r>
    </w:p>
    <w:p w14:paraId="2DB9748B" w14:textId="14BDBD1E" w:rsidR="008344F1" w:rsidRDefault="008344F1" w:rsidP="006A09C4">
      <w:r>
        <w:t>Meeting ended 8.10 pm</w:t>
      </w:r>
    </w:p>
    <w:p w14:paraId="51273A5E" w14:textId="77777777" w:rsidR="004979B8" w:rsidRPr="004979B8" w:rsidRDefault="004979B8" w:rsidP="006A09C4"/>
    <w:p w14:paraId="16E493A6" w14:textId="77777777" w:rsidR="001D22E4" w:rsidRDefault="001D22E4" w:rsidP="006A09C4"/>
    <w:p w14:paraId="4698D0EC" w14:textId="77777777" w:rsidR="001818BC" w:rsidRPr="001818BC" w:rsidRDefault="001818BC" w:rsidP="006A09C4"/>
    <w:p w14:paraId="70903CD5" w14:textId="77777777" w:rsidR="006A09C4" w:rsidRDefault="006A09C4" w:rsidP="006A09C4">
      <w:pPr>
        <w:ind w:left="360"/>
      </w:pPr>
    </w:p>
    <w:sectPr w:rsidR="006A0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E19A5"/>
    <w:multiLevelType w:val="hybridMultilevel"/>
    <w:tmpl w:val="82C68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4D5AF5"/>
    <w:multiLevelType w:val="hybridMultilevel"/>
    <w:tmpl w:val="D7F20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384024">
    <w:abstractNumId w:val="0"/>
  </w:num>
  <w:num w:numId="2" w16cid:durableId="211065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C4"/>
    <w:rsid w:val="000F5794"/>
    <w:rsid w:val="001818BC"/>
    <w:rsid w:val="00187104"/>
    <w:rsid w:val="001B70D3"/>
    <w:rsid w:val="001D1543"/>
    <w:rsid w:val="001D22E4"/>
    <w:rsid w:val="002661D6"/>
    <w:rsid w:val="00344934"/>
    <w:rsid w:val="00395380"/>
    <w:rsid w:val="003A48D7"/>
    <w:rsid w:val="003B45C5"/>
    <w:rsid w:val="004979B8"/>
    <w:rsid w:val="00626129"/>
    <w:rsid w:val="006A09C4"/>
    <w:rsid w:val="006B1B9C"/>
    <w:rsid w:val="006E3685"/>
    <w:rsid w:val="007D574E"/>
    <w:rsid w:val="008344F1"/>
    <w:rsid w:val="00AE6A24"/>
    <w:rsid w:val="00B03404"/>
    <w:rsid w:val="00C71A9B"/>
    <w:rsid w:val="00CD0A19"/>
    <w:rsid w:val="00E2432B"/>
    <w:rsid w:val="00E36007"/>
    <w:rsid w:val="00E60CD6"/>
    <w:rsid w:val="00E962F6"/>
    <w:rsid w:val="00EC7F8F"/>
    <w:rsid w:val="00F06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584D"/>
  <w15:chartTrackingRefBased/>
  <w15:docId w15:val="{A58E2F53-0BD1-4318-BAEC-95FD720E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9C4"/>
    <w:rPr>
      <w:rFonts w:eastAsiaTheme="majorEastAsia" w:cstheme="majorBidi"/>
      <w:color w:val="272727" w:themeColor="text1" w:themeTint="D8"/>
    </w:rPr>
  </w:style>
  <w:style w:type="paragraph" w:styleId="Title">
    <w:name w:val="Title"/>
    <w:basedOn w:val="Normal"/>
    <w:next w:val="Normal"/>
    <w:link w:val="TitleChar"/>
    <w:uiPriority w:val="10"/>
    <w:qFormat/>
    <w:rsid w:val="006A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9C4"/>
    <w:pPr>
      <w:spacing w:before="160"/>
      <w:jc w:val="center"/>
    </w:pPr>
    <w:rPr>
      <w:i/>
      <w:iCs/>
      <w:color w:val="404040" w:themeColor="text1" w:themeTint="BF"/>
    </w:rPr>
  </w:style>
  <w:style w:type="character" w:customStyle="1" w:styleId="QuoteChar">
    <w:name w:val="Quote Char"/>
    <w:basedOn w:val="DefaultParagraphFont"/>
    <w:link w:val="Quote"/>
    <w:uiPriority w:val="29"/>
    <w:rsid w:val="006A09C4"/>
    <w:rPr>
      <w:i/>
      <w:iCs/>
      <w:color w:val="404040" w:themeColor="text1" w:themeTint="BF"/>
    </w:rPr>
  </w:style>
  <w:style w:type="paragraph" w:styleId="ListParagraph">
    <w:name w:val="List Paragraph"/>
    <w:basedOn w:val="Normal"/>
    <w:uiPriority w:val="34"/>
    <w:qFormat/>
    <w:rsid w:val="006A09C4"/>
    <w:pPr>
      <w:ind w:left="720"/>
      <w:contextualSpacing/>
    </w:pPr>
  </w:style>
  <w:style w:type="character" w:styleId="IntenseEmphasis">
    <w:name w:val="Intense Emphasis"/>
    <w:basedOn w:val="DefaultParagraphFont"/>
    <w:uiPriority w:val="21"/>
    <w:qFormat/>
    <w:rsid w:val="006A09C4"/>
    <w:rPr>
      <w:i/>
      <w:iCs/>
      <w:color w:val="0F4761" w:themeColor="accent1" w:themeShade="BF"/>
    </w:rPr>
  </w:style>
  <w:style w:type="paragraph" w:styleId="IntenseQuote">
    <w:name w:val="Intense Quote"/>
    <w:basedOn w:val="Normal"/>
    <w:next w:val="Normal"/>
    <w:link w:val="IntenseQuoteChar"/>
    <w:uiPriority w:val="30"/>
    <w:qFormat/>
    <w:rsid w:val="006A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9C4"/>
    <w:rPr>
      <w:i/>
      <w:iCs/>
      <w:color w:val="0F4761" w:themeColor="accent1" w:themeShade="BF"/>
    </w:rPr>
  </w:style>
  <w:style w:type="character" w:styleId="IntenseReference">
    <w:name w:val="Intense Reference"/>
    <w:basedOn w:val="DefaultParagraphFont"/>
    <w:uiPriority w:val="32"/>
    <w:qFormat/>
    <w:rsid w:val="006A09C4"/>
    <w:rPr>
      <w:b/>
      <w:bCs/>
      <w:smallCaps/>
      <w:color w:val="0F4761" w:themeColor="accent1" w:themeShade="BF"/>
      <w:spacing w:val="5"/>
    </w:rPr>
  </w:style>
  <w:style w:type="table" w:styleId="TableGrid">
    <w:name w:val="Table Grid"/>
    <w:basedOn w:val="TableNormal"/>
    <w:uiPriority w:val="39"/>
    <w:rsid w:val="00E3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HAMLING, Lisa (MANOR ROAD SURGERY - B81042)</dc:creator>
  <cp:keywords/>
  <dc:description/>
  <cp:lastModifiedBy>HAMLING, Lisa (MANOR ROAD SURGERY - B81042)</cp:lastModifiedBy>
  <cp:revision>2</cp:revision>
  <dcterms:created xsi:type="dcterms:W3CDTF">2025-10-21T14:31:00Z</dcterms:created>
  <dcterms:modified xsi:type="dcterms:W3CDTF">2025-10-21T14:31:00Z</dcterms:modified>
</cp:coreProperties>
</file>